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2"/>
      </w:tblGrid>
      <w:tr w:rsidR="0029560D" w:rsidRPr="00F47AD0" w14:paraId="5B5AB00B" w14:textId="77777777" w:rsidTr="00FC379A">
        <w:tc>
          <w:tcPr>
            <w:tcW w:w="9962" w:type="dxa"/>
            <w:shd w:val="clear" w:color="auto" w:fill="auto"/>
          </w:tcPr>
          <w:p w14:paraId="0BA88749" w14:textId="77777777" w:rsidR="0029560D" w:rsidRPr="00F47AD0" w:rsidRDefault="0029560D" w:rsidP="00FC379A">
            <w:pPr>
              <w:jc w:val="center"/>
              <w:rPr>
                <w:rFonts w:asciiTheme="minorHAnsi" w:hAnsiTheme="minorHAnsi" w:cs="Arial"/>
                <w:b/>
                <w:sz w:val="28"/>
                <w:szCs w:val="28"/>
                <w:lang w:val="en-GB"/>
              </w:rPr>
            </w:pPr>
            <w:r w:rsidRPr="00F47AD0">
              <w:rPr>
                <w:rFonts w:asciiTheme="minorHAnsi" w:hAnsiTheme="minorHAnsi" w:cs="Arial"/>
                <w:lang w:val="en-GB"/>
              </w:rPr>
              <w:br w:type="page"/>
            </w:r>
            <w:r w:rsidRPr="00F47AD0">
              <w:rPr>
                <w:rFonts w:asciiTheme="minorHAnsi" w:hAnsiTheme="minorHAnsi" w:cs="Arial"/>
                <w:lang w:val="en-GB"/>
              </w:rPr>
              <w:br w:type="page"/>
            </w:r>
            <w:r w:rsidRPr="00F47AD0">
              <w:rPr>
                <w:rFonts w:asciiTheme="minorHAnsi" w:hAnsiTheme="minorHAnsi" w:cs="Arial"/>
                <w:b/>
                <w:sz w:val="28"/>
                <w:szCs w:val="28"/>
                <w:lang w:val="en-GB"/>
              </w:rPr>
              <w:t>II.  Identification and topography of abdominal organs (model)</w:t>
            </w:r>
          </w:p>
        </w:tc>
      </w:tr>
    </w:tbl>
    <w:p w14:paraId="41207C80" w14:textId="77777777" w:rsidR="0029560D" w:rsidRPr="00F47AD0" w:rsidRDefault="0029560D" w:rsidP="0029560D">
      <w:pPr>
        <w:jc w:val="center"/>
        <w:rPr>
          <w:rFonts w:asciiTheme="minorHAnsi" w:hAnsiTheme="minorHAnsi" w:cs="Arial"/>
          <w:lang w:val="en-GB"/>
        </w:rPr>
      </w:pPr>
    </w:p>
    <w:p w14:paraId="16550090" w14:textId="2CB95FB0" w:rsidR="0029560D" w:rsidRPr="00F47AD0" w:rsidRDefault="0029560D" w:rsidP="0029560D">
      <w:pPr>
        <w:jc w:val="both"/>
        <w:rPr>
          <w:rFonts w:asciiTheme="minorHAnsi" w:hAnsiTheme="minorHAnsi" w:cs="Arial"/>
          <w:lang w:val="en-GB"/>
        </w:rPr>
      </w:pPr>
      <w:r w:rsidRPr="00F47AD0">
        <w:rPr>
          <w:rFonts w:asciiTheme="minorHAnsi" w:hAnsiTheme="minorHAnsi" w:cs="Arial"/>
          <w:lang w:val="en-GB"/>
        </w:rPr>
        <w:t>The</w:t>
      </w:r>
      <w:r>
        <w:rPr>
          <w:rFonts w:asciiTheme="minorHAnsi" w:hAnsiTheme="minorHAnsi" w:cs="Arial"/>
          <w:lang w:val="en-GB"/>
        </w:rPr>
        <w:t xml:space="preserve"> </w:t>
      </w:r>
      <w:r w:rsidRPr="00F47AD0">
        <w:rPr>
          <w:rFonts w:asciiTheme="minorHAnsi" w:hAnsiTheme="minorHAnsi" w:cs="Arial"/>
          <w:lang w:val="en-GB"/>
        </w:rPr>
        <w:t xml:space="preserve">location </w:t>
      </w:r>
      <w:r>
        <w:rPr>
          <w:rFonts w:asciiTheme="minorHAnsi" w:hAnsiTheme="minorHAnsi" w:cs="Arial"/>
          <w:lang w:val="en-GB"/>
        </w:rPr>
        <w:t xml:space="preserve">of anatomical organs </w:t>
      </w:r>
      <w:r w:rsidRPr="00F47AD0">
        <w:rPr>
          <w:rFonts w:asciiTheme="minorHAnsi" w:hAnsiTheme="minorHAnsi" w:cs="Arial"/>
          <w:lang w:val="en-GB"/>
        </w:rPr>
        <w:t>can be describe</w:t>
      </w:r>
      <w:r>
        <w:rPr>
          <w:rFonts w:asciiTheme="minorHAnsi" w:hAnsiTheme="minorHAnsi" w:cs="Arial"/>
          <w:lang w:val="en-GB"/>
        </w:rPr>
        <w:t>d in several ways (see Figure, left and right panel</w:t>
      </w:r>
      <w:r w:rsidRPr="00F47AD0">
        <w:rPr>
          <w:rFonts w:asciiTheme="minorHAnsi" w:hAnsiTheme="minorHAnsi" w:cs="Arial"/>
          <w:lang w:val="en-GB"/>
        </w:rPr>
        <w:t>)</w:t>
      </w:r>
      <w:r>
        <w:rPr>
          <w:rFonts w:asciiTheme="minorHAnsi" w:hAnsiTheme="minorHAnsi" w:cs="Arial"/>
          <w:lang w:val="en-GB"/>
        </w:rPr>
        <w:t xml:space="preserve"> using anatomical regions</w:t>
      </w:r>
      <w:r w:rsidRPr="00F47AD0">
        <w:rPr>
          <w:rFonts w:asciiTheme="minorHAnsi" w:hAnsiTheme="minorHAnsi" w:cs="Arial"/>
          <w:lang w:val="en-GB"/>
        </w:rPr>
        <w:t xml:space="preserve">. </w:t>
      </w:r>
      <w:r>
        <w:rPr>
          <w:rFonts w:asciiTheme="minorHAnsi" w:hAnsiTheme="minorHAnsi" w:cs="Arial"/>
          <w:lang w:val="en-GB"/>
        </w:rPr>
        <w:t>T</w:t>
      </w:r>
      <w:r w:rsidRPr="00F47AD0">
        <w:rPr>
          <w:rFonts w:asciiTheme="minorHAnsi" w:hAnsiTheme="minorHAnsi" w:cs="Arial"/>
          <w:lang w:val="en-GB"/>
        </w:rPr>
        <w:t>he location of organs in living bodies can change, depending on, for example, posture and respiration.</w:t>
      </w:r>
    </w:p>
    <w:p w14:paraId="5603416B" w14:textId="77777777" w:rsidR="0029560D" w:rsidRPr="00F47AD0" w:rsidRDefault="0029560D" w:rsidP="0029560D">
      <w:pPr>
        <w:jc w:val="both"/>
        <w:rPr>
          <w:rFonts w:asciiTheme="minorHAnsi" w:hAnsiTheme="minorHAnsi" w:cs="Arial"/>
          <w:lang w:val="en-GB"/>
        </w:rPr>
      </w:pPr>
      <w:r>
        <w:rPr>
          <w:rFonts w:asciiTheme="minorHAnsi" w:hAnsiTheme="minorHAnsi" w:cs="Arial"/>
          <w:noProof/>
          <w:lang w:val="en-GB"/>
        </w:rPr>
        <w:drawing>
          <wp:inline distT="0" distB="0" distL="0" distR="0" wp14:anchorId="721FC1D2" wp14:editId="475B90D8">
            <wp:extent cx="3079750" cy="345523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bdominopelvic quadrants Blausen.PNG"/>
                    <pic:cNvPicPr/>
                  </pic:nvPicPr>
                  <pic:blipFill rotWithShape="1">
                    <a:blip r:embed="rId4" cstate="print">
                      <a:extLst>
                        <a:ext uri="{28A0092B-C50C-407E-A947-70E740481C1C}">
                          <a14:useLocalDpi xmlns:a14="http://schemas.microsoft.com/office/drawing/2010/main" val="0"/>
                        </a:ext>
                      </a:extLst>
                    </a:blip>
                    <a:srcRect t="6813" b="18389"/>
                    <a:stretch/>
                  </pic:blipFill>
                  <pic:spPr bwMode="auto">
                    <a:xfrm>
                      <a:off x="0" y="0"/>
                      <a:ext cx="3095801" cy="3473241"/>
                    </a:xfrm>
                    <a:prstGeom prst="rect">
                      <a:avLst/>
                    </a:prstGeom>
                    <a:ln>
                      <a:noFill/>
                    </a:ln>
                    <a:extLst>
                      <a:ext uri="{53640926-AAD7-44D8-BBD7-CCE9431645EC}">
                        <a14:shadowObscured xmlns:a14="http://schemas.microsoft.com/office/drawing/2010/main"/>
                      </a:ext>
                    </a:extLst>
                  </pic:spPr>
                </pic:pic>
              </a:graphicData>
            </a:graphic>
          </wp:inline>
        </w:drawing>
      </w:r>
      <w:r>
        <w:rPr>
          <w:rFonts w:asciiTheme="minorHAnsi" w:hAnsiTheme="minorHAnsi" w:cs="Arial"/>
          <w:noProof/>
          <w:lang w:val="en-GB"/>
        </w:rPr>
        <w:drawing>
          <wp:inline distT="0" distB="0" distL="0" distR="0" wp14:anchorId="1ED09C8A" wp14:editId="44122D74">
            <wp:extent cx="3092265" cy="34852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bdominopelvic regions Blausen.PNG"/>
                    <pic:cNvPicPr/>
                  </pic:nvPicPr>
                  <pic:blipFill rotWithShape="1">
                    <a:blip r:embed="rId5" cstate="print">
                      <a:extLst>
                        <a:ext uri="{28A0092B-C50C-407E-A947-70E740481C1C}">
                          <a14:useLocalDpi xmlns:a14="http://schemas.microsoft.com/office/drawing/2010/main" val="0"/>
                        </a:ext>
                      </a:extLst>
                    </a:blip>
                    <a:srcRect t="6302" b="18557"/>
                    <a:stretch/>
                  </pic:blipFill>
                  <pic:spPr bwMode="auto">
                    <a:xfrm>
                      <a:off x="0" y="0"/>
                      <a:ext cx="3096069" cy="3489500"/>
                    </a:xfrm>
                    <a:prstGeom prst="rect">
                      <a:avLst/>
                    </a:prstGeom>
                    <a:ln>
                      <a:noFill/>
                    </a:ln>
                    <a:extLst>
                      <a:ext uri="{53640926-AAD7-44D8-BBD7-CCE9431645EC}">
                        <a14:shadowObscured xmlns:a14="http://schemas.microsoft.com/office/drawing/2010/main"/>
                      </a:ext>
                    </a:extLst>
                  </pic:spPr>
                </pic:pic>
              </a:graphicData>
            </a:graphic>
          </wp:inline>
        </w:drawing>
      </w:r>
    </w:p>
    <w:p w14:paraId="55F18D0C" w14:textId="77777777" w:rsidR="0029560D" w:rsidRDefault="0029560D" w:rsidP="0029560D">
      <w:pPr>
        <w:sectPr w:rsidR="0029560D" w:rsidSect="00F47AD0">
          <w:footerReference w:type="default" r:id="rId6"/>
          <w:pgSz w:w="12240" w:h="15840"/>
          <w:pgMar w:top="1134" w:right="1134" w:bottom="851" w:left="1134" w:header="709" w:footer="709" w:gutter="0"/>
          <w:cols w:space="708"/>
          <w:docGrid w:linePitch="360"/>
        </w:sectPr>
      </w:pPr>
    </w:p>
    <w:p w14:paraId="597ABBEA" w14:textId="77777777" w:rsidR="0029560D" w:rsidRDefault="0029560D" w:rsidP="0029560D">
      <w:pPr>
        <w:rPr>
          <w:rFonts w:ascii="Arial" w:hAnsi="Arial" w:cs="Arial"/>
        </w:rPr>
      </w:pPr>
    </w:p>
    <w:p w14:paraId="1F7AD150" w14:textId="084FE716" w:rsidR="0029560D" w:rsidRPr="00DC082C" w:rsidRDefault="0029560D" w:rsidP="0029560D">
      <w:pPr>
        <w:rPr>
          <w:rFonts w:ascii="Arial" w:hAnsi="Arial" w:cs="Arial"/>
          <w:sz w:val="16"/>
          <w:szCs w:val="16"/>
        </w:rPr>
      </w:pPr>
      <w:r>
        <w:rPr>
          <w:rFonts w:ascii="Arial" w:hAnsi="Arial" w:cs="Arial"/>
        </w:rPr>
        <w:t xml:space="preserve">Figure 1 A: </w:t>
      </w:r>
      <w:r w:rsidRPr="00DC082C">
        <w:rPr>
          <w:rFonts w:ascii="Arial" w:hAnsi="Arial" w:cs="Arial"/>
        </w:rPr>
        <w:t xml:space="preserve">Anterior view of the abdomen with the </w:t>
      </w:r>
      <w:r w:rsidRPr="00AC71EE">
        <w:rPr>
          <w:rFonts w:ascii="Arial" w:hAnsi="Arial" w:cs="Arial"/>
          <w:b/>
          <w:i/>
        </w:rPr>
        <w:t>abdominopelvic quadrants</w:t>
      </w:r>
      <w:r w:rsidRPr="00DC082C">
        <w:rPr>
          <w:rFonts w:ascii="Arial" w:hAnsi="Arial" w:cs="Arial"/>
        </w:rPr>
        <w:t xml:space="preserve"> indicated. </w:t>
      </w:r>
      <w:hyperlink r:id="rId7" w:tgtFrame="_blank" w:history="1">
        <w:r w:rsidRPr="00DC082C">
          <w:rPr>
            <w:rStyle w:val="Hyperlink"/>
            <w:rFonts w:ascii="Arial" w:hAnsi="Arial" w:cs="Arial"/>
            <w:sz w:val="16"/>
            <w:szCs w:val="16"/>
          </w:rPr>
          <w:t xml:space="preserve">Medical gallery of </w:t>
        </w:r>
        <w:proofErr w:type="spellStart"/>
        <w:r w:rsidRPr="00DC082C">
          <w:rPr>
            <w:rStyle w:val="Hyperlink"/>
            <w:rFonts w:ascii="Arial" w:hAnsi="Arial" w:cs="Arial"/>
            <w:sz w:val="16"/>
            <w:szCs w:val="16"/>
          </w:rPr>
          <w:t>Blausen</w:t>
        </w:r>
        <w:proofErr w:type="spellEnd"/>
        <w:r w:rsidRPr="00DC082C">
          <w:rPr>
            <w:rStyle w:val="Hyperlink"/>
            <w:rFonts w:ascii="Arial" w:hAnsi="Arial" w:cs="Arial"/>
            <w:sz w:val="16"/>
            <w:szCs w:val="16"/>
          </w:rPr>
          <w:t xml:space="preserve"> Medical 2014.</w:t>
        </w:r>
      </w:hyperlink>
      <w:r w:rsidRPr="00DC082C">
        <w:rPr>
          <w:rFonts w:ascii="Arial" w:hAnsi="Arial" w:cs="Arial"/>
          <w:sz w:val="16"/>
          <w:szCs w:val="16"/>
        </w:rPr>
        <w:t xml:space="preserve">, </w:t>
      </w:r>
      <w:proofErr w:type="spellStart"/>
      <w:r w:rsidRPr="00DC082C">
        <w:rPr>
          <w:rFonts w:ascii="Arial" w:hAnsi="Arial" w:cs="Arial"/>
          <w:sz w:val="16"/>
          <w:szCs w:val="16"/>
        </w:rPr>
        <w:t>WikiJournal</w:t>
      </w:r>
      <w:proofErr w:type="spellEnd"/>
      <w:r w:rsidRPr="00DC082C">
        <w:rPr>
          <w:rFonts w:ascii="Arial" w:hAnsi="Arial" w:cs="Arial"/>
          <w:sz w:val="16"/>
          <w:szCs w:val="16"/>
        </w:rPr>
        <w:t xml:space="preserve"> of Medicine 1 (2): 10. </w:t>
      </w:r>
      <w:hyperlink r:id="rId8" w:tgtFrame="_blank" w:history="1">
        <w:r w:rsidRPr="00DC082C">
          <w:rPr>
            <w:rStyle w:val="Hyperlink"/>
            <w:rFonts w:ascii="Arial" w:hAnsi="Arial" w:cs="Arial"/>
            <w:sz w:val="16"/>
            <w:szCs w:val="16"/>
          </w:rPr>
          <w:t>DOI:10.15347/</w:t>
        </w:r>
        <w:proofErr w:type="spellStart"/>
        <w:r w:rsidRPr="00DC082C">
          <w:rPr>
            <w:rStyle w:val="Hyperlink"/>
            <w:rFonts w:ascii="Arial" w:hAnsi="Arial" w:cs="Arial"/>
            <w:sz w:val="16"/>
            <w:szCs w:val="16"/>
          </w:rPr>
          <w:t>wjm</w:t>
        </w:r>
        <w:proofErr w:type="spellEnd"/>
        <w:r w:rsidRPr="00DC082C">
          <w:rPr>
            <w:rStyle w:val="Hyperlink"/>
            <w:rFonts w:ascii="Arial" w:hAnsi="Arial" w:cs="Arial"/>
            <w:sz w:val="16"/>
            <w:szCs w:val="16"/>
          </w:rPr>
          <w:t>/2014.010</w:t>
        </w:r>
      </w:hyperlink>
      <w:r w:rsidRPr="00DC082C">
        <w:rPr>
          <w:rFonts w:ascii="Arial" w:hAnsi="Arial" w:cs="Arial"/>
          <w:sz w:val="16"/>
          <w:szCs w:val="16"/>
        </w:rPr>
        <w:t xml:space="preserve">. </w:t>
      </w:r>
      <w:hyperlink r:id="rId9" w:tgtFrame="_blank" w:history="1">
        <w:r w:rsidRPr="00DC082C">
          <w:rPr>
            <w:rStyle w:val="Hyperlink"/>
            <w:rFonts w:ascii="Arial" w:hAnsi="Arial" w:cs="Arial"/>
            <w:sz w:val="16"/>
            <w:szCs w:val="16"/>
          </w:rPr>
          <w:t xml:space="preserve">ISSN 2002-4436. Fig. </w:t>
        </w:r>
      </w:hyperlink>
      <w:r w:rsidRPr="00DC082C">
        <w:rPr>
          <w:rFonts w:ascii="Arial" w:hAnsi="Arial" w:cs="Arial"/>
          <w:sz w:val="16"/>
          <w:szCs w:val="16"/>
        </w:rPr>
        <w:t>0005.</w:t>
      </w:r>
    </w:p>
    <w:p w14:paraId="5DE3CE06" w14:textId="77777777" w:rsidR="0029560D" w:rsidRDefault="0029560D" w:rsidP="0029560D">
      <w:pPr>
        <w:rPr>
          <w:rFonts w:ascii="Arial" w:hAnsi="Arial" w:cs="Arial"/>
        </w:rPr>
      </w:pPr>
    </w:p>
    <w:p w14:paraId="1DCF9D45" w14:textId="77777777" w:rsidR="0029560D" w:rsidRDefault="0029560D" w:rsidP="0029560D">
      <w:pPr>
        <w:rPr>
          <w:rFonts w:ascii="Arial" w:hAnsi="Arial" w:cs="Arial"/>
        </w:rPr>
      </w:pPr>
    </w:p>
    <w:p w14:paraId="4A5730A0" w14:textId="512BF129" w:rsidR="0029560D" w:rsidRDefault="0029560D" w:rsidP="0029560D">
      <w:pPr>
        <w:rPr>
          <w:rFonts w:ascii="Arial" w:hAnsi="Arial" w:cs="Arial"/>
          <w:sz w:val="16"/>
          <w:szCs w:val="16"/>
        </w:rPr>
      </w:pPr>
      <w:r>
        <w:rPr>
          <w:rFonts w:ascii="Arial" w:hAnsi="Arial" w:cs="Arial"/>
        </w:rPr>
        <w:t xml:space="preserve">1B: </w:t>
      </w:r>
      <w:r w:rsidRPr="00DC082C">
        <w:rPr>
          <w:rFonts w:ascii="Arial" w:hAnsi="Arial" w:cs="Arial"/>
        </w:rPr>
        <w:t xml:space="preserve">Anterior view of the abdomen with the </w:t>
      </w:r>
      <w:r w:rsidRPr="00AC71EE">
        <w:rPr>
          <w:rFonts w:ascii="Arial" w:hAnsi="Arial" w:cs="Arial"/>
          <w:b/>
          <w:i/>
        </w:rPr>
        <w:t>abdominopelvic regions</w:t>
      </w:r>
      <w:r w:rsidRPr="00DC082C">
        <w:rPr>
          <w:rFonts w:ascii="Arial" w:hAnsi="Arial" w:cs="Arial"/>
        </w:rPr>
        <w:t xml:space="preserve"> indicated.</w:t>
      </w:r>
      <w:r w:rsidRPr="0029560D">
        <w:rPr>
          <w:rFonts w:ascii="Arial" w:hAnsi="Arial" w:cs="Arial"/>
          <w:sz w:val="16"/>
          <w:szCs w:val="16"/>
        </w:rPr>
        <w:t xml:space="preserve"> </w:t>
      </w:r>
      <w:hyperlink r:id="rId10" w:history="1">
        <w:r w:rsidRPr="00DC082C">
          <w:rPr>
            <w:rStyle w:val="Hyperlink"/>
            <w:rFonts w:ascii="Arial" w:hAnsi="Arial" w:cs="Arial"/>
            <w:sz w:val="16"/>
            <w:szCs w:val="16"/>
          </w:rPr>
          <w:t>"Blausen 0006 - Abdominopelvic regions - English labels "</w:t>
        </w:r>
      </w:hyperlink>
      <w:r w:rsidRPr="00DC082C">
        <w:rPr>
          <w:rFonts w:ascii="Arial" w:hAnsi="Arial" w:cs="Arial"/>
          <w:sz w:val="16"/>
          <w:szCs w:val="16"/>
        </w:rPr>
        <w:t xml:space="preserve"> by </w:t>
      </w:r>
      <w:hyperlink r:id="rId11" w:history="1">
        <w:r w:rsidRPr="00DC082C">
          <w:rPr>
            <w:rStyle w:val="Hyperlink"/>
            <w:rFonts w:ascii="Arial" w:hAnsi="Arial" w:cs="Arial"/>
            <w:sz w:val="16"/>
            <w:szCs w:val="16"/>
          </w:rPr>
          <w:t>Blausen.com staff (2014)</w:t>
        </w:r>
      </w:hyperlink>
      <w:r w:rsidRPr="00DC082C">
        <w:rPr>
          <w:rFonts w:ascii="Arial" w:hAnsi="Arial" w:cs="Arial"/>
          <w:sz w:val="16"/>
          <w:szCs w:val="16"/>
        </w:rPr>
        <w:t xml:space="preserve">, license: </w:t>
      </w:r>
      <w:hyperlink r:id="rId12" w:history="1">
        <w:r w:rsidRPr="00DC082C">
          <w:rPr>
            <w:rStyle w:val="Hyperlink"/>
            <w:rFonts w:ascii="Arial" w:hAnsi="Arial" w:cs="Arial"/>
            <w:sz w:val="16"/>
            <w:szCs w:val="16"/>
          </w:rPr>
          <w:t>CC BY</w:t>
        </w:r>
      </w:hyperlink>
      <w:r w:rsidRPr="00DC082C">
        <w:rPr>
          <w:rFonts w:ascii="Arial" w:hAnsi="Arial" w:cs="Arial"/>
          <w:sz w:val="16"/>
          <w:szCs w:val="16"/>
        </w:rPr>
        <w:t xml:space="preserve">. </w:t>
      </w:r>
      <w:hyperlink r:id="rId13" w:history="1">
        <w:r w:rsidRPr="00DC082C">
          <w:rPr>
            <w:rStyle w:val="Hyperlink"/>
            <w:rFonts w:ascii="Arial" w:hAnsi="Arial" w:cs="Arial"/>
            <w:sz w:val="16"/>
            <w:szCs w:val="16"/>
          </w:rPr>
          <w:t>https://en.wikiversity.org/wiki/WikiJournal_of_Medicine/Medical_gallery_of_Blause</w:t>
        </w:r>
        <w:r w:rsidRPr="00DC082C">
          <w:rPr>
            <w:rStyle w:val="Hyperlink"/>
            <w:rFonts w:ascii="Arial" w:hAnsi="Arial" w:cs="Arial"/>
            <w:sz w:val="16"/>
            <w:szCs w:val="16"/>
          </w:rPr>
          <w:t>n</w:t>
        </w:r>
        <w:r w:rsidRPr="00DC082C">
          <w:rPr>
            <w:rStyle w:val="Hyperlink"/>
            <w:rFonts w:ascii="Arial" w:hAnsi="Arial" w:cs="Arial"/>
            <w:sz w:val="16"/>
            <w:szCs w:val="16"/>
          </w:rPr>
          <w:t>_Medical_2014</w:t>
        </w:r>
      </w:hyperlink>
    </w:p>
    <w:p w14:paraId="3AAB2708" w14:textId="5BDB0B06" w:rsidR="0029560D" w:rsidRDefault="0029560D" w:rsidP="0029560D">
      <w:pPr>
        <w:rPr>
          <w:rFonts w:ascii="Arial" w:hAnsi="Arial" w:cs="Arial"/>
        </w:rPr>
        <w:sectPr w:rsidR="0029560D" w:rsidSect="0029560D">
          <w:type w:val="continuous"/>
          <w:pgSz w:w="12240" w:h="15840"/>
          <w:pgMar w:top="1134" w:right="1134" w:bottom="851" w:left="1134" w:header="709" w:footer="709" w:gutter="0"/>
          <w:cols w:num="2" w:space="708"/>
          <w:docGrid w:linePitch="360"/>
        </w:sectPr>
      </w:pPr>
    </w:p>
    <w:p w14:paraId="74CF2D6F" w14:textId="77777777" w:rsidR="0029560D" w:rsidRDefault="0029560D" w:rsidP="0029560D">
      <w:pPr>
        <w:rPr>
          <w:rFonts w:ascii="Arial" w:hAnsi="Arial" w:cs="Arial"/>
        </w:rPr>
      </w:pPr>
    </w:p>
    <w:p w14:paraId="06D4531E" w14:textId="77777777" w:rsidR="0029560D" w:rsidRDefault="0029560D" w:rsidP="0029560D">
      <w:pPr>
        <w:rPr>
          <w:rFonts w:ascii="Arial" w:hAnsi="Arial" w:cs="Arial"/>
        </w:rPr>
        <w:sectPr w:rsidR="0029560D" w:rsidSect="0029560D">
          <w:type w:val="continuous"/>
          <w:pgSz w:w="12240" w:h="15840"/>
          <w:pgMar w:top="1134" w:right="1134" w:bottom="851" w:left="1134" w:header="709" w:footer="709" w:gutter="0"/>
          <w:cols w:space="708"/>
          <w:docGrid w:linePitch="360"/>
        </w:sectPr>
      </w:pPr>
    </w:p>
    <w:p w14:paraId="033DF8BE" w14:textId="7C82E386" w:rsidR="0029560D" w:rsidRPr="00F47AD0" w:rsidRDefault="0029560D" w:rsidP="0029560D">
      <w:pPr>
        <w:rPr>
          <w:rFonts w:asciiTheme="minorHAnsi" w:hAnsiTheme="minorHAnsi" w:cs="Arial"/>
          <w:szCs w:val="22"/>
          <w:lang w:val="en-GB"/>
        </w:rPr>
      </w:pPr>
      <w:r>
        <w:rPr>
          <w:rFonts w:ascii="Arial" w:hAnsi="Arial" w:cs="Arial"/>
        </w:rPr>
        <w:t>T</w:t>
      </w:r>
      <w:r>
        <w:rPr>
          <w:rFonts w:asciiTheme="minorHAnsi" w:hAnsiTheme="minorHAnsi" w:cs="Arial"/>
          <w:szCs w:val="22"/>
          <w:lang w:val="en-GB"/>
        </w:rPr>
        <w:t>he abdomen can be divided</w:t>
      </w:r>
      <w:r w:rsidRPr="00F47AD0">
        <w:rPr>
          <w:rFonts w:asciiTheme="minorHAnsi" w:hAnsiTheme="minorHAnsi" w:cs="Arial"/>
          <w:szCs w:val="22"/>
          <w:lang w:val="en-GB"/>
        </w:rPr>
        <w:t xml:space="preserve"> into quadrants by two lines, that both </w:t>
      </w:r>
      <w:r>
        <w:rPr>
          <w:rFonts w:asciiTheme="minorHAnsi" w:hAnsiTheme="minorHAnsi" w:cs="Arial"/>
          <w:szCs w:val="22"/>
          <w:lang w:val="en-GB"/>
        </w:rPr>
        <w:t>pass the umbilicus (navel):</w:t>
      </w:r>
      <w:r w:rsidRPr="00F47AD0">
        <w:rPr>
          <w:rFonts w:asciiTheme="minorHAnsi" w:hAnsiTheme="minorHAnsi" w:cs="Arial"/>
          <w:szCs w:val="22"/>
          <w:lang w:val="en-GB"/>
        </w:rPr>
        <w:t xml:space="preserve"> </w:t>
      </w:r>
      <w:r>
        <w:rPr>
          <w:rFonts w:asciiTheme="minorHAnsi" w:hAnsiTheme="minorHAnsi" w:cs="Arial"/>
          <w:szCs w:val="22"/>
          <w:lang w:val="en-GB"/>
        </w:rPr>
        <w:t>the</w:t>
      </w:r>
      <w:r w:rsidRPr="00F47AD0">
        <w:rPr>
          <w:rFonts w:asciiTheme="minorHAnsi" w:hAnsiTheme="minorHAnsi" w:cs="Arial"/>
          <w:szCs w:val="22"/>
          <w:lang w:val="en-GB"/>
        </w:rPr>
        <w:t xml:space="preserve"> </w:t>
      </w:r>
      <w:r w:rsidRPr="00DB63FB">
        <w:rPr>
          <w:rFonts w:asciiTheme="minorHAnsi" w:hAnsiTheme="minorHAnsi" w:cs="Arial"/>
          <w:b/>
          <w:i/>
          <w:szCs w:val="22"/>
          <w:lang w:val="en-GB"/>
        </w:rPr>
        <w:t>vertical median line</w:t>
      </w:r>
      <w:r>
        <w:rPr>
          <w:rFonts w:asciiTheme="minorHAnsi" w:hAnsiTheme="minorHAnsi" w:cs="Arial"/>
          <w:szCs w:val="22"/>
          <w:lang w:val="en-GB"/>
        </w:rPr>
        <w:t xml:space="preserve"> and</w:t>
      </w:r>
      <w:r w:rsidRPr="00F47AD0">
        <w:rPr>
          <w:rFonts w:asciiTheme="minorHAnsi" w:hAnsiTheme="minorHAnsi" w:cs="Arial"/>
          <w:szCs w:val="22"/>
          <w:lang w:val="en-GB"/>
        </w:rPr>
        <w:t xml:space="preserve"> the horizontal </w:t>
      </w:r>
      <w:r>
        <w:rPr>
          <w:rFonts w:asciiTheme="minorHAnsi" w:hAnsiTheme="minorHAnsi" w:cs="Arial"/>
          <w:szCs w:val="22"/>
          <w:lang w:val="en-GB"/>
        </w:rPr>
        <w:t xml:space="preserve">line = </w:t>
      </w:r>
      <w:r w:rsidRPr="00DB63FB">
        <w:rPr>
          <w:rFonts w:asciiTheme="minorHAnsi" w:hAnsiTheme="minorHAnsi" w:cs="Arial"/>
          <w:b/>
          <w:i/>
          <w:szCs w:val="22"/>
          <w:lang w:val="en-GB"/>
        </w:rPr>
        <w:t>umbilical plane</w:t>
      </w:r>
      <w:r w:rsidRPr="00F47AD0">
        <w:rPr>
          <w:rFonts w:asciiTheme="minorHAnsi" w:hAnsiTheme="minorHAnsi" w:cs="Arial"/>
          <w:szCs w:val="22"/>
          <w:lang w:val="en-GB"/>
        </w:rPr>
        <w:t xml:space="preserve">. </w:t>
      </w:r>
      <w:r>
        <w:rPr>
          <w:rFonts w:asciiTheme="minorHAnsi" w:hAnsiTheme="minorHAnsi" w:cs="Arial"/>
          <w:szCs w:val="22"/>
          <w:lang w:val="en-GB"/>
        </w:rPr>
        <w:t>T</w:t>
      </w:r>
      <w:r w:rsidRPr="00F47AD0">
        <w:rPr>
          <w:rFonts w:asciiTheme="minorHAnsi" w:hAnsiTheme="minorHAnsi" w:cs="Arial"/>
          <w:szCs w:val="22"/>
          <w:lang w:val="en-GB"/>
        </w:rPr>
        <w:t>his division into quadrants is mostly used in general clinical descriptions</w:t>
      </w:r>
      <w:r>
        <w:rPr>
          <w:rFonts w:asciiTheme="minorHAnsi" w:hAnsiTheme="minorHAnsi" w:cs="Arial"/>
          <w:szCs w:val="22"/>
          <w:lang w:val="en-GB"/>
        </w:rPr>
        <w:t xml:space="preserve"> (see Figures 1A and 2B)</w:t>
      </w:r>
      <w:r w:rsidRPr="00F47AD0">
        <w:rPr>
          <w:rFonts w:asciiTheme="minorHAnsi" w:hAnsiTheme="minorHAnsi" w:cs="Arial"/>
          <w:szCs w:val="22"/>
          <w:lang w:val="en-GB"/>
        </w:rPr>
        <w:t>.</w:t>
      </w:r>
    </w:p>
    <w:p w14:paraId="7B7C471E" w14:textId="77777777" w:rsidR="0029560D" w:rsidRDefault="0029560D" w:rsidP="0029560D">
      <w:pPr>
        <w:jc w:val="both"/>
        <w:rPr>
          <w:rFonts w:asciiTheme="minorHAnsi" w:hAnsiTheme="minorHAnsi" w:cs="Arial"/>
          <w:szCs w:val="22"/>
          <w:lang w:val="en-GB"/>
        </w:rPr>
      </w:pPr>
    </w:p>
    <w:p w14:paraId="69C14FA5" w14:textId="77777777" w:rsidR="0029560D" w:rsidRDefault="0029560D" w:rsidP="0029560D">
      <w:pPr>
        <w:jc w:val="both"/>
        <w:rPr>
          <w:rFonts w:asciiTheme="minorHAnsi" w:hAnsiTheme="minorHAnsi" w:cs="Arial"/>
          <w:szCs w:val="22"/>
          <w:lang w:val="en-GB"/>
        </w:rPr>
      </w:pPr>
      <w:r>
        <w:rPr>
          <w:rFonts w:asciiTheme="minorHAnsi" w:hAnsiTheme="minorHAnsi" w:cs="Arial"/>
          <w:szCs w:val="22"/>
          <w:lang w:val="en-GB"/>
        </w:rPr>
        <w:t>Alternatively, t</w:t>
      </w:r>
      <w:r w:rsidRPr="00F47AD0">
        <w:rPr>
          <w:rFonts w:asciiTheme="minorHAnsi" w:hAnsiTheme="minorHAnsi" w:cs="Arial"/>
          <w:szCs w:val="22"/>
          <w:lang w:val="en-GB"/>
        </w:rPr>
        <w:t xml:space="preserve">he abdomen can be divided into nine </w:t>
      </w:r>
      <w:r>
        <w:rPr>
          <w:rFonts w:asciiTheme="minorHAnsi" w:hAnsiTheme="minorHAnsi" w:cs="Arial"/>
          <w:szCs w:val="22"/>
          <w:lang w:val="en-GB"/>
        </w:rPr>
        <w:t xml:space="preserve">abdominopelvic </w:t>
      </w:r>
      <w:r w:rsidRPr="00F47AD0">
        <w:rPr>
          <w:rFonts w:asciiTheme="minorHAnsi" w:hAnsiTheme="minorHAnsi" w:cs="Arial"/>
          <w:szCs w:val="22"/>
          <w:lang w:val="en-GB"/>
        </w:rPr>
        <w:t xml:space="preserve">regions by four lines. The upper horizontal line, running through the most caudal points of the costal arch (costa = rib), indicates the </w:t>
      </w:r>
      <w:r w:rsidRPr="00F47AD0">
        <w:rPr>
          <w:rFonts w:asciiTheme="minorHAnsi" w:hAnsiTheme="minorHAnsi" w:cs="Arial"/>
          <w:b/>
          <w:szCs w:val="22"/>
          <w:lang w:val="en-GB"/>
        </w:rPr>
        <w:t xml:space="preserve">subcostal plane </w:t>
      </w:r>
      <w:r w:rsidRPr="00DB63FB">
        <w:rPr>
          <w:rFonts w:asciiTheme="minorHAnsi" w:hAnsiTheme="minorHAnsi" w:cs="Arial"/>
          <w:szCs w:val="22"/>
          <w:lang w:val="en-GB"/>
        </w:rPr>
        <w:t>(plane below the ribs)</w:t>
      </w:r>
      <w:r w:rsidRPr="00F47AD0">
        <w:rPr>
          <w:rFonts w:asciiTheme="minorHAnsi" w:hAnsiTheme="minorHAnsi" w:cs="Arial"/>
          <w:szCs w:val="22"/>
          <w:lang w:val="en-GB"/>
        </w:rPr>
        <w:t>. The lower horizontal line, at the top of the anterior pelvis (hip bone</w:t>
      </w:r>
      <w:r>
        <w:rPr>
          <w:rFonts w:asciiTheme="minorHAnsi" w:hAnsiTheme="minorHAnsi" w:cs="Arial"/>
          <w:szCs w:val="22"/>
          <w:lang w:val="en-GB"/>
        </w:rPr>
        <w:t>, ore more precisely:</w:t>
      </w:r>
      <w:r w:rsidRPr="00F47AD0">
        <w:rPr>
          <w:rFonts w:asciiTheme="minorHAnsi" w:hAnsiTheme="minorHAnsi" w:cs="Arial"/>
          <w:szCs w:val="22"/>
          <w:lang w:val="en-GB"/>
        </w:rPr>
        <w:t xml:space="preserve"> anterior superior iliac spine ASIS – the ilium is part of the hip bone), is called the </w:t>
      </w:r>
      <w:proofErr w:type="spellStart"/>
      <w:r w:rsidRPr="00F47AD0">
        <w:rPr>
          <w:rFonts w:asciiTheme="minorHAnsi" w:hAnsiTheme="minorHAnsi" w:cs="Arial"/>
          <w:b/>
          <w:szCs w:val="22"/>
          <w:lang w:val="en-GB"/>
        </w:rPr>
        <w:t>interspinal</w:t>
      </w:r>
      <w:proofErr w:type="spellEnd"/>
      <w:r w:rsidRPr="00F47AD0">
        <w:rPr>
          <w:rFonts w:asciiTheme="minorHAnsi" w:hAnsiTheme="minorHAnsi" w:cs="Arial"/>
          <w:b/>
          <w:szCs w:val="22"/>
          <w:lang w:val="en-GB"/>
        </w:rPr>
        <w:t xml:space="preserve"> line</w:t>
      </w:r>
      <w:r w:rsidRPr="00F47AD0">
        <w:rPr>
          <w:rFonts w:asciiTheme="minorHAnsi" w:hAnsiTheme="minorHAnsi" w:cs="Arial"/>
          <w:szCs w:val="22"/>
          <w:lang w:val="en-GB"/>
        </w:rPr>
        <w:t xml:space="preserve">, indicating the </w:t>
      </w:r>
      <w:proofErr w:type="spellStart"/>
      <w:r w:rsidRPr="00F47AD0">
        <w:rPr>
          <w:rFonts w:asciiTheme="minorHAnsi" w:hAnsiTheme="minorHAnsi" w:cs="Arial"/>
          <w:b/>
          <w:szCs w:val="22"/>
          <w:lang w:val="en-GB"/>
        </w:rPr>
        <w:t>interspinal</w:t>
      </w:r>
      <w:proofErr w:type="spellEnd"/>
      <w:r w:rsidRPr="00F47AD0">
        <w:rPr>
          <w:rFonts w:asciiTheme="minorHAnsi" w:hAnsiTheme="minorHAnsi" w:cs="Arial"/>
          <w:b/>
          <w:szCs w:val="22"/>
          <w:lang w:val="en-GB"/>
        </w:rPr>
        <w:t xml:space="preserve"> plane</w:t>
      </w:r>
      <w:r w:rsidRPr="00F47AD0">
        <w:rPr>
          <w:rFonts w:asciiTheme="minorHAnsi" w:hAnsiTheme="minorHAnsi" w:cs="Arial"/>
          <w:szCs w:val="22"/>
          <w:lang w:val="en-GB"/>
        </w:rPr>
        <w:t xml:space="preserve">. The two vertical lines, through the middle of both claviculae (collar bones), are the </w:t>
      </w:r>
      <w:r w:rsidRPr="00F47AD0">
        <w:rPr>
          <w:rFonts w:asciiTheme="minorHAnsi" w:hAnsiTheme="minorHAnsi" w:cs="Arial"/>
          <w:b/>
          <w:szCs w:val="22"/>
          <w:lang w:val="en-GB"/>
        </w:rPr>
        <w:t>midclavicular lines</w:t>
      </w:r>
      <w:r>
        <w:rPr>
          <w:rFonts w:asciiTheme="minorHAnsi" w:hAnsiTheme="minorHAnsi" w:cs="Arial"/>
          <w:b/>
          <w:szCs w:val="22"/>
          <w:lang w:val="en-GB"/>
        </w:rPr>
        <w:t xml:space="preserve"> </w:t>
      </w:r>
      <w:r>
        <w:rPr>
          <w:rFonts w:asciiTheme="minorHAnsi" w:hAnsiTheme="minorHAnsi" w:cs="Arial"/>
          <w:szCs w:val="22"/>
          <w:lang w:val="en-GB"/>
        </w:rPr>
        <w:t>(see Figures 1B, 2A)</w:t>
      </w:r>
      <w:r w:rsidRPr="00F47AD0">
        <w:rPr>
          <w:rFonts w:asciiTheme="minorHAnsi" w:hAnsiTheme="minorHAnsi" w:cs="Arial"/>
          <w:szCs w:val="22"/>
          <w:lang w:val="en-GB"/>
        </w:rPr>
        <w:t xml:space="preserve">. </w:t>
      </w:r>
    </w:p>
    <w:p w14:paraId="5B34B37A" w14:textId="77777777" w:rsidR="0029560D" w:rsidRDefault="0029560D" w:rsidP="0029560D">
      <w:pPr>
        <w:rPr>
          <w:lang w:val="en-GB"/>
        </w:rPr>
        <w:sectPr w:rsidR="0029560D" w:rsidSect="0029560D">
          <w:type w:val="continuous"/>
          <w:pgSz w:w="12240" w:h="15840"/>
          <w:pgMar w:top="1134" w:right="1134" w:bottom="851" w:left="1134" w:header="709" w:footer="709" w:gutter="0"/>
          <w:cols w:space="708"/>
          <w:docGrid w:linePitch="360"/>
        </w:sectPr>
      </w:pPr>
    </w:p>
    <w:p w14:paraId="3387E63E" w14:textId="66C6298B" w:rsidR="0029560D" w:rsidRPr="0029560D" w:rsidRDefault="0029560D" w:rsidP="0029560D">
      <w:pPr>
        <w:rPr>
          <w:lang w:val="en-GB"/>
        </w:rPr>
      </w:pPr>
    </w:p>
    <w:p w14:paraId="206CA68B" w14:textId="77777777" w:rsidR="0029560D" w:rsidRDefault="0029560D" w:rsidP="0029560D"/>
    <w:p w14:paraId="1F0F0DA6" w14:textId="77777777" w:rsidR="0029560D" w:rsidRDefault="0029560D" w:rsidP="0029560D">
      <w:pPr>
        <w:jc w:val="both"/>
        <w:rPr>
          <w:rFonts w:asciiTheme="minorHAnsi" w:hAnsiTheme="minorHAnsi" w:cs="Arial"/>
          <w:i/>
        </w:rPr>
        <w:sectPr w:rsidR="0029560D" w:rsidSect="0029560D">
          <w:type w:val="continuous"/>
          <w:pgSz w:w="12240" w:h="15840"/>
          <w:pgMar w:top="1134" w:right="1134" w:bottom="851" w:left="1134" w:header="709" w:footer="709" w:gutter="0"/>
          <w:cols w:num="2" w:space="708"/>
          <w:docGrid w:linePitch="360"/>
        </w:sectPr>
      </w:pPr>
    </w:p>
    <w:p w14:paraId="227C7522" w14:textId="77777777" w:rsidR="0029560D" w:rsidRDefault="0029560D" w:rsidP="0029560D">
      <w:pPr>
        <w:jc w:val="both"/>
        <w:rPr>
          <w:rFonts w:asciiTheme="minorHAnsi" w:hAnsiTheme="minorHAnsi" w:cs="Arial"/>
          <w:szCs w:val="22"/>
          <w:lang w:val="en-GB"/>
        </w:rPr>
      </w:pPr>
      <w:r w:rsidRPr="00DB63FB">
        <w:rPr>
          <w:rFonts w:asciiTheme="minorHAnsi" w:hAnsiTheme="minorHAnsi" w:cs="Arial"/>
          <w:noProof/>
          <w:szCs w:val="22"/>
        </w:rPr>
        <w:lastRenderedPageBreak/>
        <w:drawing>
          <wp:inline distT="0" distB="0" distL="0" distR="0" wp14:anchorId="08669462" wp14:editId="625733E3">
            <wp:extent cx="6332220" cy="323151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332220" cy="3231515"/>
                    </a:xfrm>
                    <a:prstGeom prst="rect">
                      <a:avLst/>
                    </a:prstGeom>
                  </pic:spPr>
                </pic:pic>
              </a:graphicData>
            </a:graphic>
          </wp:inline>
        </w:drawing>
      </w:r>
    </w:p>
    <w:p w14:paraId="1BA64F14" w14:textId="2BB120DE" w:rsidR="0029560D" w:rsidRDefault="0029560D" w:rsidP="0029560D">
      <w:pPr>
        <w:rPr>
          <w:rFonts w:ascii="Arial" w:hAnsi="Arial" w:cs="Arial"/>
        </w:rPr>
      </w:pPr>
      <w:r w:rsidRPr="00AC71EE">
        <w:rPr>
          <w:rFonts w:ascii="Arial" w:hAnsi="Arial" w:cs="Arial"/>
        </w:rPr>
        <w:t xml:space="preserve"> Figure 2</w:t>
      </w:r>
      <w:r>
        <w:rPr>
          <w:rFonts w:ascii="Arial" w:hAnsi="Arial" w:cs="Arial"/>
        </w:rPr>
        <w:t>A</w:t>
      </w:r>
      <w:r w:rsidRPr="00AC71EE">
        <w:rPr>
          <w:rFonts w:ascii="Arial" w:hAnsi="Arial" w:cs="Arial"/>
        </w:rPr>
        <w:t xml:space="preserve">: Abdominopelvic regions and </w:t>
      </w:r>
      <w:r>
        <w:rPr>
          <w:rFonts w:ascii="Arial" w:hAnsi="Arial" w:cs="Arial"/>
        </w:rPr>
        <w:t xml:space="preserve">B) </w:t>
      </w:r>
      <w:r w:rsidRPr="00AC71EE">
        <w:rPr>
          <w:rFonts w:ascii="Arial" w:hAnsi="Arial" w:cs="Arial"/>
        </w:rPr>
        <w:t xml:space="preserve">quadrants. Adapted from: </w:t>
      </w:r>
      <w:r w:rsidRPr="00D6039F">
        <w:rPr>
          <w:rFonts w:ascii="Arial" w:hAnsi="Arial" w:cs="Arial"/>
        </w:rPr>
        <w:t xml:space="preserve">" </w:t>
      </w:r>
      <w:hyperlink r:id="rId15" w:history="1">
        <w:r w:rsidRPr="00AC71EE">
          <w:rPr>
            <w:rFonts w:ascii="Arial" w:hAnsi="Arial" w:cs="Arial"/>
            <w:color w:val="0000FF"/>
            <w:u w:val="single"/>
          </w:rPr>
          <w:t>http://cnx.org/contents/17e4eea8-a005-45af-b835-f756a014cd48@3</w:t>
        </w:r>
      </w:hyperlink>
      <w:r w:rsidRPr="00D6039F">
        <w:rPr>
          <w:rFonts w:ascii="Arial" w:hAnsi="Arial" w:cs="Arial"/>
        </w:rPr>
        <w:t>."</w:t>
      </w:r>
    </w:p>
    <w:p w14:paraId="56346ECF" w14:textId="77777777" w:rsidR="0029560D" w:rsidRDefault="0029560D" w:rsidP="0029560D">
      <w:pPr>
        <w:rPr>
          <w:rFonts w:ascii="Arial" w:hAnsi="Arial" w:cs="Arial"/>
        </w:rPr>
      </w:pPr>
    </w:p>
    <w:p w14:paraId="348BCC0C" w14:textId="4546B9C4" w:rsidR="0029560D" w:rsidRDefault="0029560D" w:rsidP="0029560D">
      <w:pPr>
        <w:rPr>
          <w:rFonts w:ascii="Arial" w:hAnsi="Arial" w:cs="Arial"/>
        </w:rPr>
      </w:pPr>
      <w:r>
        <w:rPr>
          <w:rFonts w:ascii="Arial" w:hAnsi="Arial" w:cs="Arial"/>
        </w:rPr>
        <w:t>Study the position of the abdominal and pelvic organs.</w:t>
      </w:r>
    </w:p>
    <w:p w14:paraId="45517B3B" w14:textId="61F156E8" w:rsidR="0029560D" w:rsidRDefault="0029560D" w:rsidP="0029560D">
      <w:pPr>
        <w:rPr>
          <w:rFonts w:ascii="Arial" w:hAnsi="Arial" w:cs="Arial"/>
        </w:rPr>
      </w:pPr>
    </w:p>
    <w:p w14:paraId="2CC6AC26" w14:textId="3FAC24EE" w:rsidR="0029560D" w:rsidRDefault="0029560D" w:rsidP="0029560D">
      <w:pPr>
        <w:rPr>
          <w:rFonts w:ascii="Arial" w:hAnsi="Arial" w:cs="Arial"/>
        </w:rPr>
      </w:pPr>
      <w:r>
        <w:rPr>
          <w:rFonts w:ascii="Arial" w:hAnsi="Arial" w:cs="Arial"/>
        </w:rPr>
        <w:t xml:space="preserve">The epigastric region lies above the stomach (epi – Greek: on, upon; gastro – Greek: stomach). The hypochondriac regions are below the cartilage (hypo – Greek: below, </w:t>
      </w:r>
      <w:proofErr w:type="spellStart"/>
      <w:r>
        <w:rPr>
          <w:rFonts w:ascii="Arial" w:hAnsi="Arial" w:cs="Arial"/>
        </w:rPr>
        <w:t>chondros</w:t>
      </w:r>
      <w:proofErr w:type="spellEnd"/>
      <w:r>
        <w:rPr>
          <w:rFonts w:ascii="Arial" w:hAnsi="Arial" w:cs="Arial"/>
        </w:rPr>
        <w:t xml:space="preserve"> – Greek: cartilage, in this case of the ribs/sternum). The term hypochondriac is nowadays also used to describe a person who suffers from imagined diseases. In ancient Greece, it was believed that the viscera of the hypochondriac region (liver, spleen and gallbladder) were the seat of melancholy, and the source of vapors that caused feelings of depression and morbid melancholy. Later, it was thought that this was also associated with physical symptoms and pain</w:t>
      </w:r>
      <w:proofErr w:type="gramStart"/>
      <w:r>
        <w:rPr>
          <w:rFonts w:ascii="Arial" w:hAnsi="Arial" w:cs="Arial"/>
        </w:rPr>
        <w:t xml:space="preserve">. </w:t>
      </w:r>
      <w:proofErr w:type="gramEnd"/>
      <w:r>
        <w:rPr>
          <w:rFonts w:ascii="Arial" w:hAnsi="Arial" w:cs="Arial"/>
        </w:rPr>
        <w:t>After old medical beliefs dis</w:t>
      </w:r>
      <w:bookmarkStart w:id="0" w:name="_GoBack"/>
      <w:bookmarkEnd w:id="0"/>
      <w:r>
        <w:rPr>
          <w:rFonts w:ascii="Arial" w:hAnsi="Arial" w:cs="Arial"/>
        </w:rPr>
        <w:t xml:space="preserve">appeared, the term hypochondriac then remained to describe persons with groundless fears about their health. </w:t>
      </w:r>
    </w:p>
    <w:p w14:paraId="029FDF45" w14:textId="233469AC" w:rsidR="0029560D" w:rsidRPr="00D6039F" w:rsidRDefault="0029560D" w:rsidP="0029560D">
      <w:pPr>
        <w:rPr>
          <w:rFonts w:ascii="Arial" w:hAnsi="Arial" w:cs="Arial"/>
        </w:rPr>
      </w:pPr>
      <w:r>
        <w:rPr>
          <w:rFonts w:ascii="Arial" w:hAnsi="Arial" w:cs="Arial"/>
        </w:rPr>
        <w:t>The lumbar regions are at the level of the lumbar vertebrae (</w:t>
      </w:r>
      <w:proofErr w:type="spellStart"/>
      <w:r>
        <w:rPr>
          <w:rFonts w:ascii="Arial" w:hAnsi="Arial" w:cs="Arial"/>
        </w:rPr>
        <w:t>lumbaris</w:t>
      </w:r>
      <w:proofErr w:type="spellEnd"/>
      <w:r>
        <w:rPr>
          <w:rFonts w:ascii="Arial" w:hAnsi="Arial" w:cs="Arial"/>
        </w:rPr>
        <w:t xml:space="preserve"> – Latin: loins).</w:t>
      </w:r>
    </w:p>
    <w:p w14:paraId="05C475B7" w14:textId="77777777" w:rsidR="001D7F36" w:rsidRDefault="00D80EC4"/>
    <w:sectPr w:rsidR="001D7F36" w:rsidSect="00AD0D6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8307047"/>
      <w:docPartObj>
        <w:docPartGallery w:val="Page Numbers (Bottom of Page)"/>
        <w:docPartUnique/>
      </w:docPartObj>
    </w:sdtPr>
    <w:sdtEndPr>
      <w:rPr>
        <w:noProof/>
      </w:rPr>
    </w:sdtEndPr>
    <w:sdtContent>
      <w:p w14:paraId="466E85D3" w14:textId="77777777" w:rsidR="00B87371" w:rsidRDefault="00D80EC4">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1910BAE2" w14:textId="77777777" w:rsidR="00B87371" w:rsidRDefault="00D80EC4">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60D"/>
    <w:rsid w:val="00014172"/>
    <w:rsid w:val="00024E97"/>
    <w:rsid w:val="00046C04"/>
    <w:rsid w:val="00051399"/>
    <w:rsid w:val="00051A7B"/>
    <w:rsid w:val="00060432"/>
    <w:rsid w:val="000660D4"/>
    <w:rsid w:val="0007178B"/>
    <w:rsid w:val="00074D47"/>
    <w:rsid w:val="0008188F"/>
    <w:rsid w:val="000818C4"/>
    <w:rsid w:val="00082577"/>
    <w:rsid w:val="000831E1"/>
    <w:rsid w:val="00083586"/>
    <w:rsid w:val="00083FA1"/>
    <w:rsid w:val="00087CA9"/>
    <w:rsid w:val="000A5153"/>
    <w:rsid w:val="000B6D81"/>
    <w:rsid w:val="000C4D9F"/>
    <w:rsid w:val="000C54A7"/>
    <w:rsid w:val="000C6CEF"/>
    <w:rsid w:val="000C7CA1"/>
    <w:rsid w:val="000D2793"/>
    <w:rsid w:val="000D34AC"/>
    <w:rsid w:val="000E01AB"/>
    <w:rsid w:val="000E425B"/>
    <w:rsid w:val="000F1405"/>
    <w:rsid w:val="000F31CD"/>
    <w:rsid w:val="000F7B38"/>
    <w:rsid w:val="001060B7"/>
    <w:rsid w:val="001113C5"/>
    <w:rsid w:val="00121D3D"/>
    <w:rsid w:val="001240F5"/>
    <w:rsid w:val="00127B34"/>
    <w:rsid w:val="001346C9"/>
    <w:rsid w:val="001569CC"/>
    <w:rsid w:val="001603B0"/>
    <w:rsid w:val="001611F9"/>
    <w:rsid w:val="00165A1B"/>
    <w:rsid w:val="0016644C"/>
    <w:rsid w:val="0016741E"/>
    <w:rsid w:val="00167B55"/>
    <w:rsid w:val="00174A68"/>
    <w:rsid w:val="00177A87"/>
    <w:rsid w:val="0018576E"/>
    <w:rsid w:val="00190859"/>
    <w:rsid w:val="00191D21"/>
    <w:rsid w:val="0019561E"/>
    <w:rsid w:val="001A2BCB"/>
    <w:rsid w:val="001A32FB"/>
    <w:rsid w:val="001A58F5"/>
    <w:rsid w:val="001A70F9"/>
    <w:rsid w:val="001C2B99"/>
    <w:rsid w:val="001C4FBF"/>
    <w:rsid w:val="001D39CF"/>
    <w:rsid w:val="001D5397"/>
    <w:rsid w:val="001E1A52"/>
    <w:rsid w:val="001F7ED8"/>
    <w:rsid w:val="0020011B"/>
    <w:rsid w:val="002052EE"/>
    <w:rsid w:val="002059E0"/>
    <w:rsid w:val="00205E15"/>
    <w:rsid w:val="00210B08"/>
    <w:rsid w:val="00216368"/>
    <w:rsid w:val="00217D96"/>
    <w:rsid w:val="002263BA"/>
    <w:rsid w:val="0023062A"/>
    <w:rsid w:val="00233281"/>
    <w:rsid w:val="002360CE"/>
    <w:rsid w:val="0023638F"/>
    <w:rsid w:val="002463E8"/>
    <w:rsid w:val="00262CCC"/>
    <w:rsid w:val="002720D4"/>
    <w:rsid w:val="002721EF"/>
    <w:rsid w:val="002776CB"/>
    <w:rsid w:val="002825F3"/>
    <w:rsid w:val="00286E09"/>
    <w:rsid w:val="00293326"/>
    <w:rsid w:val="0029560D"/>
    <w:rsid w:val="002A15BB"/>
    <w:rsid w:val="002A2E65"/>
    <w:rsid w:val="002A71AD"/>
    <w:rsid w:val="002C44E0"/>
    <w:rsid w:val="002E211E"/>
    <w:rsid w:val="002E5F4C"/>
    <w:rsid w:val="002E7388"/>
    <w:rsid w:val="002F057F"/>
    <w:rsid w:val="002F0E74"/>
    <w:rsid w:val="00300459"/>
    <w:rsid w:val="0031139F"/>
    <w:rsid w:val="00312EBA"/>
    <w:rsid w:val="00316959"/>
    <w:rsid w:val="00323783"/>
    <w:rsid w:val="0033128B"/>
    <w:rsid w:val="00344597"/>
    <w:rsid w:val="00351CAE"/>
    <w:rsid w:val="00356C48"/>
    <w:rsid w:val="003613AB"/>
    <w:rsid w:val="00362EA0"/>
    <w:rsid w:val="003640FF"/>
    <w:rsid w:val="003801B8"/>
    <w:rsid w:val="0038370F"/>
    <w:rsid w:val="00387293"/>
    <w:rsid w:val="00387E4C"/>
    <w:rsid w:val="00390B8D"/>
    <w:rsid w:val="003A17EF"/>
    <w:rsid w:val="003B0C59"/>
    <w:rsid w:val="003C0578"/>
    <w:rsid w:val="003C3AF5"/>
    <w:rsid w:val="003C6EF5"/>
    <w:rsid w:val="003D20E5"/>
    <w:rsid w:val="003E5357"/>
    <w:rsid w:val="003E65C0"/>
    <w:rsid w:val="003F053E"/>
    <w:rsid w:val="003F1CC5"/>
    <w:rsid w:val="00400DD7"/>
    <w:rsid w:val="004010EC"/>
    <w:rsid w:val="0040595E"/>
    <w:rsid w:val="00407A91"/>
    <w:rsid w:val="00412DB4"/>
    <w:rsid w:val="00425943"/>
    <w:rsid w:val="00427A54"/>
    <w:rsid w:val="00437084"/>
    <w:rsid w:val="00456B46"/>
    <w:rsid w:val="00456C1F"/>
    <w:rsid w:val="00456F5F"/>
    <w:rsid w:val="00457C4A"/>
    <w:rsid w:val="00460B58"/>
    <w:rsid w:val="004722B6"/>
    <w:rsid w:val="00472D67"/>
    <w:rsid w:val="00477A06"/>
    <w:rsid w:val="00483553"/>
    <w:rsid w:val="00486A91"/>
    <w:rsid w:val="0049127E"/>
    <w:rsid w:val="004A26CD"/>
    <w:rsid w:val="004A62DA"/>
    <w:rsid w:val="004A6566"/>
    <w:rsid w:val="004A7885"/>
    <w:rsid w:val="004B1BA7"/>
    <w:rsid w:val="004B79B6"/>
    <w:rsid w:val="004C0715"/>
    <w:rsid w:val="004C1831"/>
    <w:rsid w:val="004D4D1C"/>
    <w:rsid w:val="004E0AF9"/>
    <w:rsid w:val="004E50F2"/>
    <w:rsid w:val="004F1765"/>
    <w:rsid w:val="004F6E46"/>
    <w:rsid w:val="0050152A"/>
    <w:rsid w:val="00504DFA"/>
    <w:rsid w:val="00510547"/>
    <w:rsid w:val="00511E1C"/>
    <w:rsid w:val="00512F4D"/>
    <w:rsid w:val="00517F11"/>
    <w:rsid w:val="005234A3"/>
    <w:rsid w:val="00525FA3"/>
    <w:rsid w:val="00534B04"/>
    <w:rsid w:val="00535145"/>
    <w:rsid w:val="00545822"/>
    <w:rsid w:val="0054656B"/>
    <w:rsid w:val="00550330"/>
    <w:rsid w:val="005541B7"/>
    <w:rsid w:val="00555615"/>
    <w:rsid w:val="005610B8"/>
    <w:rsid w:val="0056190C"/>
    <w:rsid w:val="00564B98"/>
    <w:rsid w:val="00564C37"/>
    <w:rsid w:val="00567B6B"/>
    <w:rsid w:val="005737FD"/>
    <w:rsid w:val="005869A0"/>
    <w:rsid w:val="00586FF9"/>
    <w:rsid w:val="00597809"/>
    <w:rsid w:val="00597901"/>
    <w:rsid w:val="005A1B47"/>
    <w:rsid w:val="005B54D3"/>
    <w:rsid w:val="005C42A4"/>
    <w:rsid w:val="005D6267"/>
    <w:rsid w:val="005D7825"/>
    <w:rsid w:val="005E4B52"/>
    <w:rsid w:val="005F1A2A"/>
    <w:rsid w:val="005F2AD8"/>
    <w:rsid w:val="005F4EC8"/>
    <w:rsid w:val="005F5A04"/>
    <w:rsid w:val="006052F2"/>
    <w:rsid w:val="00613F6E"/>
    <w:rsid w:val="00624076"/>
    <w:rsid w:val="00630AC4"/>
    <w:rsid w:val="00631E9D"/>
    <w:rsid w:val="00632253"/>
    <w:rsid w:val="00641AF8"/>
    <w:rsid w:val="00641E8F"/>
    <w:rsid w:val="00645BA9"/>
    <w:rsid w:val="00663FA9"/>
    <w:rsid w:val="006651EC"/>
    <w:rsid w:val="006741AE"/>
    <w:rsid w:val="006811D6"/>
    <w:rsid w:val="00682747"/>
    <w:rsid w:val="00682D51"/>
    <w:rsid w:val="00692927"/>
    <w:rsid w:val="006A0F42"/>
    <w:rsid w:val="006A17B7"/>
    <w:rsid w:val="006A1CF8"/>
    <w:rsid w:val="006A2090"/>
    <w:rsid w:val="006A6ED3"/>
    <w:rsid w:val="006B3577"/>
    <w:rsid w:val="006C0A81"/>
    <w:rsid w:val="006C228E"/>
    <w:rsid w:val="006C2677"/>
    <w:rsid w:val="006C2A30"/>
    <w:rsid w:val="006C5C5D"/>
    <w:rsid w:val="006D19B1"/>
    <w:rsid w:val="006D67C9"/>
    <w:rsid w:val="006E0D2B"/>
    <w:rsid w:val="007117FD"/>
    <w:rsid w:val="00711D42"/>
    <w:rsid w:val="00720E43"/>
    <w:rsid w:val="00722574"/>
    <w:rsid w:val="00727378"/>
    <w:rsid w:val="00735082"/>
    <w:rsid w:val="007373DA"/>
    <w:rsid w:val="00756388"/>
    <w:rsid w:val="007621AA"/>
    <w:rsid w:val="0076248A"/>
    <w:rsid w:val="0076383B"/>
    <w:rsid w:val="00765235"/>
    <w:rsid w:val="007652E5"/>
    <w:rsid w:val="00774A2F"/>
    <w:rsid w:val="00776407"/>
    <w:rsid w:val="007771F4"/>
    <w:rsid w:val="00782622"/>
    <w:rsid w:val="00782C02"/>
    <w:rsid w:val="00783884"/>
    <w:rsid w:val="007866E4"/>
    <w:rsid w:val="007935D0"/>
    <w:rsid w:val="00793C4C"/>
    <w:rsid w:val="00795634"/>
    <w:rsid w:val="00797C15"/>
    <w:rsid w:val="007A089F"/>
    <w:rsid w:val="007A0D53"/>
    <w:rsid w:val="007A6D4B"/>
    <w:rsid w:val="007C47BB"/>
    <w:rsid w:val="007D0B2E"/>
    <w:rsid w:val="007D1AAE"/>
    <w:rsid w:val="007D25B2"/>
    <w:rsid w:val="007D43AA"/>
    <w:rsid w:val="007D7AEC"/>
    <w:rsid w:val="007E250E"/>
    <w:rsid w:val="007E5038"/>
    <w:rsid w:val="007E7376"/>
    <w:rsid w:val="007F1574"/>
    <w:rsid w:val="00811589"/>
    <w:rsid w:val="00811C7F"/>
    <w:rsid w:val="00831674"/>
    <w:rsid w:val="00832E98"/>
    <w:rsid w:val="008374CB"/>
    <w:rsid w:val="0084735B"/>
    <w:rsid w:val="00853F3F"/>
    <w:rsid w:val="00854382"/>
    <w:rsid w:val="00855436"/>
    <w:rsid w:val="00866BAF"/>
    <w:rsid w:val="0087117E"/>
    <w:rsid w:val="00872397"/>
    <w:rsid w:val="008732FC"/>
    <w:rsid w:val="00880857"/>
    <w:rsid w:val="00894273"/>
    <w:rsid w:val="00894CEB"/>
    <w:rsid w:val="008A02F3"/>
    <w:rsid w:val="008A5403"/>
    <w:rsid w:val="008B0266"/>
    <w:rsid w:val="008B1043"/>
    <w:rsid w:val="008B784C"/>
    <w:rsid w:val="008D5591"/>
    <w:rsid w:val="008D68C2"/>
    <w:rsid w:val="008F422F"/>
    <w:rsid w:val="00901E5C"/>
    <w:rsid w:val="00904246"/>
    <w:rsid w:val="00911F75"/>
    <w:rsid w:val="00913226"/>
    <w:rsid w:val="00915007"/>
    <w:rsid w:val="00917A3A"/>
    <w:rsid w:val="009243B3"/>
    <w:rsid w:val="009301A1"/>
    <w:rsid w:val="00932D64"/>
    <w:rsid w:val="00935404"/>
    <w:rsid w:val="00941EAF"/>
    <w:rsid w:val="00946465"/>
    <w:rsid w:val="00951E85"/>
    <w:rsid w:val="0095215A"/>
    <w:rsid w:val="00957CC3"/>
    <w:rsid w:val="00967B00"/>
    <w:rsid w:val="00982CC2"/>
    <w:rsid w:val="00987B83"/>
    <w:rsid w:val="00997477"/>
    <w:rsid w:val="009A0B53"/>
    <w:rsid w:val="009A1411"/>
    <w:rsid w:val="009A3996"/>
    <w:rsid w:val="009A3B11"/>
    <w:rsid w:val="009A7B1A"/>
    <w:rsid w:val="009B1A8B"/>
    <w:rsid w:val="009C27E4"/>
    <w:rsid w:val="009C4395"/>
    <w:rsid w:val="009D1621"/>
    <w:rsid w:val="009D28D6"/>
    <w:rsid w:val="009D5EB3"/>
    <w:rsid w:val="009E3CD5"/>
    <w:rsid w:val="009F13F0"/>
    <w:rsid w:val="009F6345"/>
    <w:rsid w:val="00A0123C"/>
    <w:rsid w:val="00A01D7B"/>
    <w:rsid w:val="00A02A67"/>
    <w:rsid w:val="00A04433"/>
    <w:rsid w:val="00A126D8"/>
    <w:rsid w:val="00A14601"/>
    <w:rsid w:val="00A27BA6"/>
    <w:rsid w:val="00A372A7"/>
    <w:rsid w:val="00A47B3F"/>
    <w:rsid w:val="00A5310D"/>
    <w:rsid w:val="00A54983"/>
    <w:rsid w:val="00A57CED"/>
    <w:rsid w:val="00A60AFE"/>
    <w:rsid w:val="00A67C25"/>
    <w:rsid w:val="00A92489"/>
    <w:rsid w:val="00AA65A0"/>
    <w:rsid w:val="00AC1C3F"/>
    <w:rsid w:val="00AC2482"/>
    <w:rsid w:val="00AD0D69"/>
    <w:rsid w:val="00AD230C"/>
    <w:rsid w:val="00AF158C"/>
    <w:rsid w:val="00AF1B19"/>
    <w:rsid w:val="00AF5581"/>
    <w:rsid w:val="00AF55FF"/>
    <w:rsid w:val="00B10D50"/>
    <w:rsid w:val="00B15054"/>
    <w:rsid w:val="00B16C54"/>
    <w:rsid w:val="00B22041"/>
    <w:rsid w:val="00B27650"/>
    <w:rsid w:val="00B32432"/>
    <w:rsid w:val="00B32F47"/>
    <w:rsid w:val="00B34D05"/>
    <w:rsid w:val="00B466A1"/>
    <w:rsid w:val="00B55042"/>
    <w:rsid w:val="00B63792"/>
    <w:rsid w:val="00B71091"/>
    <w:rsid w:val="00B90808"/>
    <w:rsid w:val="00BA0A87"/>
    <w:rsid w:val="00BA2CDF"/>
    <w:rsid w:val="00BA7769"/>
    <w:rsid w:val="00BB2964"/>
    <w:rsid w:val="00BC244E"/>
    <w:rsid w:val="00BE1AAA"/>
    <w:rsid w:val="00BE25C4"/>
    <w:rsid w:val="00BE7049"/>
    <w:rsid w:val="00BF3503"/>
    <w:rsid w:val="00BF4AC5"/>
    <w:rsid w:val="00C14056"/>
    <w:rsid w:val="00C34AB9"/>
    <w:rsid w:val="00C46444"/>
    <w:rsid w:val="00C51E67"/>
    <w:rsid w:val="00C5238E"/>
    <w:rsid w:val="00C54458"/>
    <w:rsid w:val="00C55E33"/>
    <w:rsid w:val="00C62792"/>
    <w:rsid w:val="00C642B2"/>
    <w:rsid w:val="00C648D1"/>
    <w:rsid w:val="00C671B9"/>
    <w:rsid w:val="00C828B7"/>
    <w:rsid w:val="00C87872"/>
    <w:rsid w:val="00C91F3C"/>
    <w:rsid w:val="00CA2FA9"/>
    <w:rsid w:val="00CA3EFA"/>
    <w:rsid w:val="00CA73C7"/>
    <w:rsid w:val="00CB245B"/>
    <w:rsid w:val="00CB2E50"/>
    <w:rsid w:val="00CC3354"/>
    <w:rsid w:val="00CC48B1"/>
    <w:rsid w:val="00CC7E81"/>
    <w:rsid w:val="00CD287B"/>
    <w:rsid w:val="00CD7A56"/>
    <w:rsid w:val="00CE1458"/>
    <w:rsid w:val="00D01132"/>
    <w:rsid w:val="00D2040A"/>
    <w:rsid w:val="00D206ED"/>
    <w:rsid w:val="00D2255C"/>
    <w:rsid w:val="00D26634"/>
    <w:rsid w:val="00D32FA2"/>
    <w:rsid w:val="00D40A1B"/>
    <w:rsid w:val="00D420B3"/>
    <w:rsid w:val="00D44D23"/>
    <w:rsid w:val="00D51F46"/>
    <w:rsid w:val="00D52EDA"/>
    <w:rsid w:val="00D56BF3"/>
    <w:rsid w:val="00D743BF"/>
    <w:rsid w:val="00D76C6D"/>
    <w:rsid w:val="00D77FB3"/>
    <w:rsid w:val="00D80EC4"/>
    <w:rsid w:val="00D82FEF"/>
    <w:rsid w:val="00D9393B"/>
    <w:rsid w:val="00D94732"/>
    <w:rsid w:val="00D9657F"/>
    <w:rsid w:val="00D96CBC"/>
    <w:rsid w:val="00D97050"/>
    <w:rsid w:val="00DA1BF7"/>
    <w:rsid w:val="00DA2EC8"/>
    <w:rsid w:val="00DA61D5"/>
    <w:rsid w:val="00DB31F0"/>
    <w:rsid w:val="00DB728A"/>
    <w:rsid w:val="00DC27CC"/>
    <w:rsid w:val="00DD1B01"/>
    <w:rsid w:val="00DD47BA"/>
    <w:rsid w:val="00DD76C4"/>
    <w:rsid w:val="00DE07C7"/>
    <w:rsid w:val="00DE139B"/>
    <w:rsid w:val="00DE1424"/>
    <w:rsid w:val="00DE3A11"/>
    <w:rsid w:val="00DE61F7"/>
    <w:rsid w:val="00DF0F6B"/>
    <w:rsid w:val="00DF39EE"/>
    <w:rsid w:val="00DF57D2"/>
    <w:rsid w:val="00E02B24"/>
    <w:rsid w:val="00E10824"/>
    <w:rsid w:val="00E149D2"/>
    <w:rsid w:val="00E1574E"/>
    <w:rsid w:val="00E220F6"/>
    <w:rsid w:val="00E2271F"/>
    <w:rsid w:val="00E23629"/>
    <w:rsid w:val="00E237C1"/>
    <w:rsid w:val="00E26C59"/>
    <w:rsid w:val="00E421ED"/>
    <w:rsid w:val="00E4728C"/>
    <w:rsid w:val="00E55B2C"/>
    <w:rsid w:val="00E60B05"/>
    <w:rsid w:val="00E61424"/>
    <w:rsid w:val="00E614C1"/>
    <w:rsid w:val="00E64FCF"/>
    <w:rsid w:val="00E70D5E"/>
    <w:rsid w:val="00E7498F"/>
    <w:rsid w:val="00E75D74"/>
    <w:rsid w:val="00E75E34"/>
    <w:rsid w:val="00E80A56"/>
    <w:rsid w:val="00E80B39"/>
    <w:rsid w:val="00EA03A0"/>
    <w:rsid w:val="00EA2C84"/>
    <w:rsid w:val="00EA4724"/>
    <w:rsid w:val="00EA6E86"/>
    <w:rsid w:val="00EB3732"/>
    <w:rsid w:val="00ED117A"/>
    <w:rsid w:val="00ED4A1F"/>
    <w:rsid w:val="00ED500E"/>
    <w:rsid w:val="00EF08EE"/>
    <w:rsid w:val="00EF34F8"/>
    <w:rsid w:val="00EF5224"/>
    <w:rsid w:val="00F10D4E"/>
    <w:rsid w:val="00F169CA"/>
    <w:rsid w:val="00F341E5"/>
    <w:rsid w:val="00F36F46"/>
    <w:rsid w:val="00F52C7F"/>
    <w:rsid w:val="00F54994"/>
    <w:rsid w:val="00F56691"/>
    <w:rsid w:val="00F648F1"/>
    <w:rsid w:val="00F72C93"/>
    <w:rsid w:val="00F73D41"/>
    <w:rsid w:val="00F76A56"/>
    <w:rsid w:val="00F81900"/>
    <w:rsid w:val="00F86C26"/>
    <w:rsid w:val="00F86EEA"/>
    <w:rsid w:val="00FC5890"/>
    <w:rsid w:val="00FE44C3"/>
    <w:rsid w:val="00FF138F"/>
    <w:rsid w:val="00FF2277"/>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7A9C393"/>
  <w14:defaultImageDpi w14:val="32767"/>
  <w15:chartTrackingRefBased/>
  <w15:docId w15:val="{87DC9364-E655-484D-8519-41DC97347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9560D"/>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9560D"/>
    <w:pPr>
      <w:tabs>
        <w:tab w:val="center" w:pos="4320"/>
        <w:tab w:val="right" w:pos="8640"/>
      </w:tabs>
      <w:spacing w:line="240" w:lineRule="atLeast"/>
    </w:pPr>
    <w:rPr>
      <w:sz w:val="22"/>
      <w:szCs w:val="20"/>
    </w:rPr>
  </w:style>
  <w:style w:type="character" w:customStyle="1" w:styleId="FooterChar">
    <w:name w:val="Footer Char"/>
    <w:basedOn w:val="DefaultParagraphFont"/>
    <w:link w:val="Footer"/>
    <w:uiPriority w:val="99"/>
    <w:rsid w:val="0029560D"/>
    <w:rPr>
      <w:rFonts w:ascii="Times New Roman" w:eastAsia="Times New Roman" w:hAnsi="Times New Roman" w:cs="Times New Roman"/>
      <w:sz w:val="22"/>
      <w:szCs w:val="20"/>
      <w:lang w:val="en-US"/>
    </w:rPr>
  </w:style>
  <w:style w:type="character" w:styleId="Hyperlink">
    <w:name w:val="Hyperlink"/>
    <w:uiPriority w:val="99"/>
    <w:rsid w:val="0029560D"/>
    <w:rPr>
      <w:color w:val="0000FF"/>
      <w:u w:val="single"/>
    </w:rPr>
  </w:style>
  <w:style w:type="character" w:styleId="FollowedHyperlink">
    <w:name w:val="FollowedHyperlink"/>
    <w:basedOn w:val="DefaultParagraphFont"/>
    <w:uiPriority w:val="99"/>
    <w:semiHidden/>
    <w:unhideWhenUsed/>
    <w:rsid w:val="0029560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versity.org/wiki/WikiJournal_of_Medicine/Medical_gallery_of_Blausen_Medical_2014" TargetMode="External"/><Relationship Id="rId13" Type="http://schemas.openxmlformats.org/officeDocument/2006/relationships/hyperlink" Target="https://en.wikiversity.org/wiki/WikiJournal_of_Medicine/Medical_gallery_of_Blausen_Medical_2014" TargetMode="External"/><Relationship Id="rId3" Type="http://schemas.openxmlformats.org/officeDocument/2006/relationships/webSettings" Target="webSettings.xml"/><Relationship Id="rId7" Type="http://schemas.openxmlformats.org/officeDocument/2006/relationships/hyperlink" Target="https://en.wikiversity.org/wiki/WikiJournal_of_Medicine/Medical_gallery_of_Blausen_Medical_2014" TargetMode="External"/><Relationship Id="rId12" Type="http://schemas.openxmlformats.org/officeDocument/2006/relationships/hyperlink" Target="https://creativecommons.org/licenses/by/4.0/"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yperlink" Target="https://blausen.com/" TargetMode="External"/><Relationship Id="rId5" Type="http://schemas.openxmlformats.org/officeDocument/2006/relationships/image" Target="media/image2.png"/><Relationship Id="rId15" Type="http://schemas.openxmlformats.org/officeDocument/2006/relationships/hyperlink" Target="http://cnx.org/contents/17e4eea8-a005-45af-b835-f756a014cd48@3" TargetMode="External"/><Relationship Id="rId10" Type="http://schemas.openxmlformats.org/officeDocument/2006/relationships/hyperlink" Target="https://anatomytool.org/content/blausen-0006-abdominopelvic-regions-english-labels" TargetMode="External"/><Relationship Id="rId4" Type="http://schemas.openxmlformats.org/officeDocument/2006/relationships/image" Target="media/image1.png"/><Relationship Id="rId9" Type="http://schemas.openxmlformats.org/officeDocument/2006/relationships/hyperlink" Target="https://www.worldcat.org/title/wikijournal-of-medicine/oclc/961872227" TargetMode="Externa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Eleonore Köhler</dc:creator>
  <cp:keywords/>
  <dc:description/>
  <cp:lastModifiedBy>Eleonore Köhler</cp:lastModifiedBy>
  <cp:revision>1</cp:revision>
  <dcterms:created xsi:type="dcterms:W3CDTF">2021-11-06T11:24:00Z</dcterms:created>
  <dcterms:modified xsi:type="dcterms:W3CDTF">2021-11-06T11:43:00Z</dcterms:modified>
</cp:coreProperties>
</file>